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22 128 vom 12. Juli 2024</w:t>
      </w:r>
    </w:p>
    <w:p>
      <w:r>
        <w:t>VS Kantonsgericht, 2024-07-12, FR</w:t>
      </w:r>
    </w:p>
    <w:p>
      <w:r>
        <w:rPr>
          <w:b/>
        </w:rPr>
        <w:t xml:space="preserve">Quelle: </w:t>
      </w:r>
      <w:r>
        <w:t>https://mcp.opencaselaw.ch/entscheid/vs_gerichte_C1 22 128</w:t>
      </w:r>
    </w:p>
    <w:p>
      <w:r>
        <w:t>FR: VS_GERICHTE C1 22 128 du 12 juillet 2024</w:t>
      </w:r>
    </w:p>
    <w:p>
      <w:r>
        <w:t>IT: VS_GERICHTE C1 22 128 del 12 luglio 2024</w:t>
      </w:r>
    </w:p>
    <w:p>
      <w:pPr>
        <w:pStyle w:val="Heading2"/>
      </w:pPr>
      <w:r>
        <w:t>Regeste</w:t>
      </w:r>
    </w:p>
    <w:p>
      <w:r>
        <w:t>C1 22 128 ARRÊT DU 12 JUILLET 2024 Tribunal cantonal du Valais Cour civile II Composition : Christian Zuber, président ; Bertrand Dayer, juge, et Valentin Piccinin, juge suppléant ; Geneviève Fellay, greffière ; en la cause X _________, défendeur et demandeur en reconvention, appelant, représenté par Maître Michel De Palma, avocat à Sion, contre Y _________, demanderesse et défenderesse en reconvention, appelée, représentée par Maître Damien Hottelier, avocat à Monthey. (demande en paiement) appel contre le jugement du 28 mars 2022 du Tribunal du district de Sion (SIO C1 19 212)</w:t>
      </w:r>
    </w:p>
    <w:p>
      <w:pPr>
        <w:pStyle w:val="Heading2"/>
      </w:pPr>
      <w:r>
        <w:t>Erwägungen</w:t>
      </w:r>
    </w:p>
    <w:p>
      <w:r>
        <w:rPr>
          <w:b/>
        </w:rPr>
        <w:t>E. 7</w:t>
      </w:r>
    </w:p>
    <w:p>
      <w:r>
        <w:t>L'appel étant partiellement admis, il convient de procéder à une nouvelle répartition des frais et dépens de première instance (art. 318 al. 3 CPC).</w:t>
      </w:r>
    </w:p>
    <w:p>
      <w:r>
        <w:rPr>
          <w:b/>
        </w:rPr>
        <w:t>E. 7.1</w:t>
      </w:r>
    </w:p>
    <w:p>
      <w:r>
        <w:t>A teneur de l'art. 106 al. 1, 1ère phrase CPC, les frais – qui comprennent les frais judiciaires et les dépens (art. 95 al. 1 CPC) – sont mis à la charge de la partie succombante. Lorsqu'aucune des parties n'obtient entièrement gain de cause, les frais sont répartis selon le sort de la cause (art. 106 al. 2 CPC). Cette disposition suppose une répartition des frais judiciaires et des dépens en fonction de l'issue du litige comparée avec les conclusions prises par chacune des parties (arrêts 5A_140/2019 du 5 juillet 2019 consid. 5.1.1; 4A_226/2013 du 7 octobre 2013 consid. 6.2, publié in RSPC 2014 p. 19). Le poids accordé aux conclusions tranchées, peut, de cas en cas, être apprécié selon différents critères, par exemple selon leur importance respective dans le litige (arrêt 5A_5/2019 du 4 juin 2019 consid. 3.3.1 et les autres références). Au vu de la diversité des critères, il n'y a pas qu'une seule solution qui soit conforme au droit fédéral (arrêt 4A_511/2015 du 9 décembre 2015 consid. 2.2). Il résulte des termes "sort de la cause" utilisés à l'art. 106 al. 2 CPC que, dans la répartition des frais, le juge peut notamment prendre en considération l'importance de chaque conclusion dans le litige, de même que le fait qu'une partie a obtenu gain de cause sur une question de principe. De surcroît, cette circonstance est expressément prévue par l'art. 107 al. 1 lit. a CPC dans le cas analogue où la demande est certes admise sur le principe, mais pas pour le montant réclamé (arrêts 5A_140/2019 précité consid. 5.1.1; 4A_207/2015 du 2 septembre 2015 consid. 3.1). Le juge peut donc pondérer ce que chaque partie obtient en tenant compte du fait que certaines prétentions sont plus importantes que d'autres dans le procès (TAPPY, in Commentaire romand, CPC, 2ème éd. 2019, n° 34 ad art. 106 CPC). Le principe selon lequel les frais doivent être répartis selon l'issue du procès repose sur l'idée que les frais doivent être supportés par celui qui les a occasionnés, étant présumé que tel est le cas de la partie qui succombe (ATF 145 III 153 consid. 3.3.1; 119 Ia 1 consid. 6b; arrêt 5A_140/2019 précité consid. 5.1.1). C'est selon l'ensemble des circonstances du cas concret que l'on doit décider si une partie obtient gain de cause en tout ou partie et, en cas de gain partiel, comment les frais</w:t>
      </w:r>
    </w:p>
    <w:p>
      <w:r>
        <w:t>- 25 - doivent être répartis (arrêts 5A_140/2019 précité consid. 5.1.1; 5A_197/2017 du 21 juillet 2017 consid. 1.3.2). Dans les cas peu clairs, le juge peut être amené à considérer soit qu'aucune partie n'obtient entièrement gain de cause (art. 106 al. 2 CPC), soit qu'un motif de répartition en équité est réalisé (art. 107 CPC; cf. TAPPY, op. cit., n° 18 ad art. 106 CPC).</w:t>
      </w:r>
    </w:p>
    <w:p>
      <w:r>
        <w:rPr>
          <w:b/>
        </w:rPr>
        <w:t>E. 7.2</w:t>
      </w:r>
    </w:p>
    <w:p>
      <w:r>
        <w:t>En l'occurrence, X _________ a été condamné à payer à Y _________ un montant de 24'500 fr. alors que celle-ci requérait le paiement d’un montant de 40'000 fr. La demande reconventionnelle en paiement de X _________ d’un montant de 25'000 fr. a été rejetée comme sollicité par Y _________. Par ailleurs, il a été constaté que la dette de X _________ envers Y _________ en vertu de la convention de partage du bénéfice se monte à 24'500 fr. alors que le premier concluait à l’inexistence de celle-ci et que la seconde soutenait dans ses plaidoiries écrites qu’elle était de 72'243 fr. 80. Dans ces circonstances et dès lors que Y _________ l’a emporté sur le principe du versement d’un montant en sa faveur, il se justifie de répartir les frais de première instance – dont le montant total de 8000 fr., fixé conformément aux dispositions applicables (art. 8 al. 1, 10 al. 2, 16 al. 1 LTar), n’est pas contesté et peut être confirmé – à raison de 3200 fr. (2/5) à charge de Y _________ et de 4800 fr. (3/5) à charge de X _________. Ces frais sont prélevés sur les avances effectuées (demanderesse: 5000 fr.; défendeur: 6000 fr.), le solde de ces avances étant restitué par le greffe du tribunal à raison de 1800 fr. (5000 fr. – 3200 fr.) à la demanderesse et de 1200 fr. (6000 fr. – 4800 fr.) au défendeur. Enfin, les frais de procédure de conciliation de 250 fr., que le jugement entrepris a mis entièrement à la charge du défendeur, sont répartis à hauteur de 100 fr. à charge de la demanderesse et 150 fr. à charge du défendeur. Ces frais ayant été payés par la demanderesse, le défendeur doit lui rembourser le montant de 150 francs. Le jugement de première instance a condamné le défendeur à verser à la demanderesse une indemnité de dépens de 10’000 fr. La quotité de cette indemnité n’est pas contestée en appel et l’activité utilement déployée par le conseil du défendeur en première instance peut être arrêtée au même montant que celle du conseil de la demanderesse. Vu la répartition des frais, le défendeur doit à la demanderesse une indemnité de 6000 fr. (3/5 de 10'000 fr.) à titre de dépens de première instance et celle-ci lui doit une indemnité de 4000 fr. (2/5 de 10'000 fr.) au même titre. Après compensation, le défendeur versera 2000 fr. de dépens à la demanderesse.</w:t>
      </w:r>
    </w:p>
    <w:p>
      <w:r>
        <w:rPr>
          <w:b/>
        </w:rPr>
        <w:t>E. 7.3</w:t>
      </w:r>
    </w:p>
    <w:p>
      <w:r>
        <w:t>En seconde instance, s’agissant de la fixation des frais et dépens, le succès se mesure à l’aune de la modification obtenue du jugement de première instance</w:t>
      </w:r>
    </w:p>
    <w:p>
      <w:r>
        <w:t>- 26 - (STOUDMANN, PC CPC, 2021, n. 12 ad art. 106 CPC ; TAPPY, op. cit., n. 20 ad art. 106 CPC). Vu l'admission partielle de l'appel, qui a conduit à réduire la créance dont l’appelant a été condamné à payer de 40'000 fr. à 24'500 fr., soit une réduction de 15'500 fr., à constater que la dette totale due par celui-ci était de 24'500 fr. au lieu des 72'243 fr. 80 mentionnés par l’appelée dans ses plaidoiries écrites de première instance, soit une réduction de 47’743 fr., et à confirmer le rejet des prétentions reconventionnelles en paiement de l’appelant de 25'000 fr., il y a lieu de mettre les frais de seconde instance à charge des parties à raison d’une moitié chacune. Vu l'ampleur moyenne de la cause, son degré ordinaire de difficulté, la situation financière des parties, ainsi que les principes de la couverture des frais et de l'équivalence des prestations, l'émolument forfaitaire de décision (art. 95 al. 2 let. b CPC) est fixé à 3000 fr. (art. 13 al. 1 et 2, 16 al. 1 et 19 LTar). Prélevé sur l’avance faite par l’appelant de 3000 fr., il est mis à hauteur de 1500 fr. à charge de l’appelant et de 1500 fr. à charge de l’appelée, qui versera à l’appelant le montant de 1500 fr. à titre de remboursement d’avance.</w:t>
      </w:r>
    </w:p>
    <w:p>
      <w:r>
        <w:rPr>
          <w:b/>
        </w:rPr>
        <w:t>E. 7.4</w:t>
      </w:r>
    </w:p>
    <w:p>
      <w:r>
        <w:t>Compte tenu du sort de l’appel, les dépens sont mis à la charge des parties dans la même proportion (art. 106 al. 2 CPC). L’activité du conseil de l'appelant a consisté à rédiger un mémoire d’appel et à prendre connaissance de la détermination de l’appelée, ainsi qu’à rédiger de brèves observations. Eu égard au temps utilement consacré à la cause et à la difficulté moyenne de celle-ci, les pleins dépens sont fixés à 2600 fr. (art. 27 al. 1, 34 al. 1 et 35 al. 1 let. a LTar). L’appelée doit dès lors une indemnité de 1300 fr. à l’appelant à titre de dépens (honoraires et débours compris). Quant au mandataire de l'appelée, son activité a consisté à prendre connaissance de la déclaration d’appel et à rédiger la réponse. Eu égard au temps utilement consacré à la cause, les pleins dépens sont fixés à 1800 fr. (art. 27 al. 1, 34 al. 1 et 35 al. 1 let. a LTar). L’appelant doit ainsi une indemnité de 900 fr. à l’appelée à titre de dépens (honoraires et débours compris). Après compensation, l’appelée versera une indemnité de dépens d’appel de 400 fr. (1300 fr. – 900 fr.) à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